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87B" w:rsidRPr="00561E46" w:rsidRDefault="00561E46" w:rsidP="00FA687B">
      <w:pPr>
        <w:rPr>
          <w:b/>
          <w:lang w:val="en-GB"/>
        </w:rPr>
      </w:pPr>
      <w:r w:rsidRPr="00561E46">
        <w:rPr>
          <w:b/>
          <w:lang w:val="en-GB"/>
        </w:rPr>
        <w:t>Supplementary document 2</w:t>
      </w:r>
    </w:p>
    <w:p w:rsidR="00FA687B" w:rsidRPr="00337AC8" w:rsidRDefault="00FA687B" w:rsidP="00FA687B">
      <w:pPr>
        <w:rPr>
          <w:lang w:val="en-GB"/>
        </w:rPr>
      </w:pPr>
    </w:p>
    <w:p w:rsidR="00FA687B" w:rsidRPr="00337AC8" w:rsidRDefault="00FA687B" w:rsidP="00FA687B">
      <w:pPr>
        <w:autoSpaceDE w:val="0"/>
        <w:autoSpaceDN w:val="0"/>
        <w:adjustRightInd w:val="0"/>
        <w:rPr>
          <w:lang w:val="en-GB"/>
        </w:rPr>
      </w:pPr>
      <w:r w:rsidRPr="00337AC8">
        <w:rPr>
          <w:lang w:val="en-GB"/>
        </w:rPr>
        <w:t xml:space="preserve">Starting point for the meta-analysis are </w:t>
      </w:r>
      <w:r w:rsidRPr="00FA687B">
        <w:rPr>
          <w:lang w:val="en-GB"/>
        </w:rPr>
        <w:t xml:space="preserve">estimated progression free survival (PFS) and overall survival (OS) </w:t>
      </w:r>
      <w:r w:rsidRPr="00337AC8">
        <w:rPr>
          <w:lang w:val="en-GB"/>
        </w:rPr>
        <w:t xml:space="preserve">reported in each </w:t>
      </w:r>
      <w:r>
        <w:rPr>
          <w:lang w:val="en-GB"/>
        </w:rPr>
        <w:t xml:space="preserve">published </w:t>
      </w:r>
      <w:r w:rsidRPr="00337AC8">
        <w:rPr>
          <w:lang w:val="en-GB"/>
        </w:rPr>
        <w:t>manuscript and the</w:t>
      </w:r>
      <w:r>
        <w:rPr>
          <w:lang w:val="en-GB"/>
        </w:rPr>
        <w:t xml:space="preserve"> minimum and the maximum follow-</w:t>
      </w:r>
      <w:r w:rsidRPr="00337AC8">
        <w:rPr>
          <w:lang w:val="en-GB"/>
        </w:rPr>
        <w:t>up (</w:t>
      </w:r>
      <w:proofErr w:type="spellStart"/>
      <w:r w:rsidRPr="00337AC8">
        <w:rPr>
          <w:lang w:val="en-GB"/>
        </w:rPr>
        <w:t>min</w:t>
      </w:r>
      <w:r w:rsidRPr="00CF7F20">
        <w:rPr>
          <w:vertAlign w:val="subscript"/>
          <w:lang w:val="en-GB"/>
        </w:rPr>
        <w:t>FUP</w:t>
      </w:r>
      <w:proofErr w:type="spellEnd"/>
      <w:r w:rsidRPr="00337AC8">
        <w:rPr>
          <w:lang w:val="en-GB"/>
        </w:rPr>
        <w:t xml:space="preserve">, </w:t>
      </w:r>
      <w:proofErr w:type="spellStart"/>
      <w:r w:rsidRPr="00337AC8">
        <w:rPr>
          <w:lang w:val="en-GB"/>
        </w:rPr>
        <w:t>max</w:t>
      </w:r>
      <w:r w:rsidRPr="00CF7F20">
        <w:rPr>
          <w:vertAlign w:val="subscript"/>
          <w:lang w:val="en-GB"/>
        </w:rPr>
        <w:t>FUP</w:t>
      </w:r>
      <w:proofErr w:type="spellEnd"/>
      <w:r w:rsidRPr="00337AC8">
        <w:rPr>
          <w:lang w:val="en-GB"/>
        </w:rPr>
        <w:t xml:space="preserve">) of patients. </w:t>
      </w:r>
      <w:r>
        <w:rPr>
          <w:lang w:val="en-GB"/>
        </w:rPr>
        <w:t xml:space="preserve">Minimum </w:t>
      </w:r>
      <w:bookmarkStart w:id="0" w:name="_GoBack"/>
      <w:bookmarkEnd w:id="0"/>
      <w:r>
        <w:rPr>
          <w:lang w:val="en-GB"/>
        </w:rPr>
        <w:t>and maximum follow up</w:t>
      </w:r>
      <w:r w:rsidRPr="00337AC8">
        <w:rPr>
          <w:lang w:val="en-GB"/>
        </w:rPr>
        <w:t xml:space="preserve"> may be given directly but most often they will need to be estimated from the manuscript by looking at dates of accrual (if given) and from the date of submission, or perhaps publication of the manuscript. A model for the censoring mechanism based on the minimum and the maximu</w:t>
      </w:r>
      <w:r>
        <w:rPr>
          <w:lang w:val="en-GB"/>
        </w:rPr>
        <w:t>m follow-</w:t>
      </w:r>
      <w:r w:rsidRPr="00337AC8">
        <w:rPr>
          <w:lang w:val="en-GB"/>
        </w:rPr>
        <w:t xml:space="preserve">up is assumed here for computing the number at risk and person years for each time. Let C(t) be the function that models the censoring mechanism. Based on the available information the function C(t) </w:t>
      </w:r>
      <w:r>
        <w:rPr>
          <w:lang w:val="en-GB"/>
        </w:rPr>
        <w:t xml:space="preserve">can be chosen </w:t>
      </w:r>
      <w:r w:rsidRPr="00337AC8">
        <w:rPr>
          <w:lang w:val="en-GB"/>
        </w:rPr>
        <w:t>as follows</w:t>
      </w:r>
    </w:p>
    <w:p w:rsidR="00FA687B" w:rsidRDefault="00FA687B" w:rsidP="00FA687B">
      <w:pPr>
        <w:rPr>
          <w:lang w:val="en-GB"/>
        </w:rPr>
      </w:pPr>
    </w:p>
    <w:p w:rsidR="00FA687B" w:rsidRDefault="00FA687B" w:rsidP="00FA687B">
      <w:pPr>
        <w:rPr>
          <w:lang w:val="en-GB"/>
        </w:rPr>
      </w:pPr>
      <w:r>
        <w:rPr>
          <w:noProof/>
          <w:lang w:val="en-GB" w:eastAsia="zh-CN"/>
        </w:rPr>
        <w:drawing>
          <wp:inline distT="0" distB="0" distL="0" distR="0">
            <wp:extent cx="5762625" cy="891540"/>
            <wp:effectExtent l="0" t="0" r="9525"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2625" cy="891540"/>
                    </a:xfrm>
                    <a:prstGeom prst="rect">
                      <a:avLst/>
                    </a:prstGeom>
                    <a:noFill/>
                    <a:ln>
                      <a:noFill/>
                    </a:ln>
                  </pic:spPr>
                </pic:pic>
              </a:graphicData>
            </a:graphic>
          </wp:inline>
        </w:drawing>
      </w:r>
    </w:p>
    <w:p w:rsidR="00FA687B" w:rsidRPr="00337AC8" w:rsidRDefault="00FA687B" w:rsidP="00FA687B">
      <w:pPr>
        <w:autoSpaceDE w:val="0"/>
        <w:autoSpaceDN w:val="0"/>
        <w:adjustRightInd w:val="0"/>
        <w:rPr>
          <w:lang w:val="en-GB"/>
        </w:rPr>
      </w:pPr>
      <w:r w:rsidRPr="00337AC8">
        <w:rPr>
          <w:lang w:val="en-GB"/>
        </w:rPr>
        <w:t>This function expresses the proportion of patients at time t that have at least t time units of follow-up. Given the number of eligible patients (n</w:t>
      </w:r>
      <w:r>
        <w:rPr>
          <w:lang w:val="en-GB"/>
        </w:rPr>
        <w:t>), the  eff</w:t>
      </w:r>
      <w:r w:rsidRPr="00337AC8">
        <w:rPr>
          <w:lang w:val="en-GB"/>
        </w:rPr>
        <w:t>ective number at risk, the number of revisions at time j and the number of censored are estimated, respectively, as</w:t>
      </w:r>
    </w:p>
    <w:p w:rsidR="00FA687B" w:rsidRPr="00337AC8" w:rsidRDefault="00FA687B" w:rsidP="00FA687B">
      <w:pPr>
        <w:rPr>
          <w:lang w:val="en-GB"/>
        </w:rPr>
      </w:pPr>
    </w:p>
    <w:p w:rsidR="00FA687B" w:rsidRPr="007D0450" w:rsidRDefault="00FA687B" w:rsidP="00FA687B">
      <w:pPr>
        <w:rPr>
          <w:lang w:val="en-GB"/>
        </w:rPr>
      </w:pPr>
      <w:r>
        <w:rPr>
          <w:noProof/>
          <w:lang w:val="en-GB" w:eastAsia="zh-CN"/>
        </w:rPr>
        <w:drawing>
          <wp:inline distT="0" distB="0" distL="0" distR="0">
            <wp:extent cx="5758180" cy="1978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58180" cy="1978025"/>
                    </a:xfrm>
                    <a:prstGeom prst="rect">
                      <a:avLst/>
                    </a:prstGeom>
                    <a:noFill/>
                    <a:ln>
                      <a:noFill/>
                    </a:ln>
                  </pic:spPr>
                </pic:pic>
              </a:graphicData>
            </a:graphic>
          </wp:inline>
        </w:drawing>
      </w:r>
    </w:p>
    <w:p w:rsidR="00FA687B" w:rsidRDefault="00FA687B" w:rsidP="00FA687B">
      <w:pPr>
        <w:autoSpaceDE w:val="0"/>
        <w:autoSpaceDN w:val="0"/>
        <w:adjustRightInd w:val="0"/>
        <w:rPr>
          <w:color w:val="000000"/>
          <w:lang w:val="en-GB"/>
        </w:rPr>
      </w:pPr>
      <w:r>
        <w:rPr>
          <w:color w:val="000000"/>
          <w:lang w:val="en-GB"/>
        </w:rPr>
        <w:t>where</w:t>
      </w:r>
    </w:p>
    <w:p w:rsidR="00FA687B" w:rsidRDefault="00FA687B" w:rsidP="00FA687B">
      <w:pPr>
        <w:autoSpaceDE w:val="0"/>
        <w:autoSpaceDN w:val="0"/>
        <w:adjustRightInd w:val="0"/>
        <w:rPr>
          <w:color w:val="000000"/>
          <w:lang w:val="en-GB"/>
        </w:rPr>
      </w:pPr>
    </w:p>
    <w:p w:rsidR="00FA687B" w:rsidRPr="00DD0399" w:rsidRDefault="00FA687B" w:rsidP="00FA687B">
      <w:pPr>
        <w:autoSpaceDE w:val="0"/>
        <w:autoSpaceDN w:val="0"/>
        <w:adjustRightInd w:val="0"/>
        <w:rPr>
          <w:color w:val="000000"/>
          <w:lang w:val="en-GB"/>
        </w:rPr>
      </w:pPr>
      <w:proofErr w:type="spellStart"/>
      <w:r w:rsidRPr="00DD0399">
        <w:rPr>
          <w:color w:val="000000"/>
          <w:lang w:val="en-GB"/>
        </w:rPr>
        <w:t>S</w:t>
      </w:r>
      <w:r w:rsidRPr="00DD0399">
        <w:rPr>
          <w:color w:val="000000"/>
          <w:vertAlign w:val="subscript"/>
          <w:lang w:val="en-GB"/>
        </w:rPr>
        <w:t>j</w:t>
      </w:r>
      <w:proofErr w:type="spellEnd"/>
      <w:r w:rsidRPr="00DD0399">
        <w:rPr>
          <w:color w:val="000000"/>
          <w:lang w:val="en-GB"/>
        </w:rPr>
        <w:t>: survival at time j</w:t>
      </w:r>
    </w:p>
    <w:p w:rsidR="00FA687B" w:rsidRPr="00DD0399" w:rsidRDefault="00FA687B" w:rsidP="00FA687B">
      <w:pPr>
        <w:autoSpaceDE w:val="0"/>
        <w:autoSpaceDN w:val="0"/>
        <w:adjustRightInd w:val="0"/>
        <w:rPr>
          <w:color w:val="000000"/>
          <w:lang w:val="en-GB"/>
        </w:rPr>
      </w:pPr>
      <w:proofErr w:type="spellStart"/>
      <w:r w:rsidRPr="00DD0399">
        <w:rPr>
          <w:color w:val="000000"/>
          <w:lang w:val="en-GB"/>
        </w:rPr>
        <w:t>C</w:t>
      </w:r>
      <w:r w:rsidRPr="00DD0399">
        <w:rPr>
          <w:color w:val="000000"/>
          <w:vertAlign w:val="subscript"/>
          <w:lang w:val="en-GB"/>
        </w:rPr>
        <w:t>j</w:t>
      </w:r>
      <w:proofErr w:type="spellEnd"/>
      <w:r w:rsidRPr="00DD0399">
        <w:rPr>
          <w:color w:val="000000"/>
          <w:lang w:val="en-GB"/>
        </w:rPr>
        <w:t>: value of the function C(t) defined in (1) at a specific time j</w:t>
      </w:r>
    </w:p>
    <w:p w:rsidR="00FA687B" w:rsidRPr="00DD0399" w:rsidRDefault="00FA687B" w:rsidP="00FA687B">
      <w:pPr>
        <w:rPr>
          <w:color w:val="000000"/>
          <w:lang w:val="en-GB"/>
        </w:rPr>
      </w:pPr>
      <w:proofErr w:type="spellStart"/>
      <w:r w:rsidRPr="00DD0399">
        <w:rPr>
          <w:color w:val="000000"/>
          <w:lang w:val="en-GB"/>
        </w:rPr>
        <w:t>r</w:t>
      </w:r>
      <w:r w:rsidRPr="00DD0399">
        <w:rPr>
          <w:color w:val="000000"/>
          <w:vertAlign w:val="subscript"/>
          <w:lang w:val="en-GB"/>
        </w:rPr>
        <w:t>j</w:t>
      </w:r>
      <w:proofErr w:type="spellEnd"/>
      <w:r w:rsidRPr="00DD0399">
        <w:rPr>
          <w:color w:val="000000"/>
          <w:lang w:val="en-GB"/>
        </w:rPr>
        <w:t>: number at risk at time j</w:t>
      </w:r>
    </w:p>
    <w:p w:rsidR="00FA687B" w:rsidRPr="00DD0399" w:rsidRDefault="00FA687B" w:rsidP="00FA687B">
      <w:pPr>
        <w:rPr>
          <w:color w:val="000000"/>
          <w:lang w:val="en-GB"/>
        </w:rPr>
      </w:pPr>
      <w:proofErr w:type="spellStart"/>
      <w:r w:rsidRPr="00DD0399">
        <w:rPr>
          <w:color w:val="000000"/>
          <w:lang w:val="en-GB"/>
        </w:rPr>
        <w:t>d</w:t>
      </w:r>
      <w:r w:rsidRPr="00DD0399">
        <w:rPr>
          <w:color w:val="000000"/>
          <w:vertAlign w:val="subscript"/>
          <w:lang w:val="en-GB"/>
        </w:rPr>
        <w:t>j</w:t>
      </w:r>
      <w:proofErr w:type="spellEnd"/>
      <w:r w:rsidRPr="00DD0399">
        <w:rPr>
          <w:color w:val="000000"/>
          <w:lang w:val="en-GB"/>
        </w:rPr>
        <w:t>: number of deaths at time j</w:t>
      </w:r>
    </w:p>
    <w:p w:rsidR="00FA687B" w:rsidRPr="00DD0399" w:rsidRDefault="00FA687B" w:rsidP="00FA687B">
      <w:pPr>
        <w:rPr>
          <w:b/>
          <w:lang w:val="en-GB"/>
        </w:rPr>
      </w:pPr>
      <w:proofErr w:type="spellStart"/>
      <w:r w:rsidRPr="00DD0399">
        <w:rPr>
          <w:color w:val="000000"/>
          <w:lang w:val="en-GB"/>
        </w:rPr>
        <w:t>c</w:t>
      </w:r>
      <w:r w:rsidRPr="00DD0399">
        <w:rPr>
          <w:color w:val="000000"/>
          <w:vertAlign w:val="subscript"/>
          <w:lang w:val="en-GB"/>
        </w:rPr>
        <w:t>j</w:t>
      </w:r>
      <w:proofErr w:type="spellEnd"/>
      <w:r w:rsidRPr="00DD0399">
        <w:rPr>
          <w:color w:val="000000"/>
          <w:lang w:val="en-GB"/>
        </w:rPr>
        <w:t>: number of censored at time j</w:t>
      </w:r>
      <w:r>
        <w:rPr>
          <w:color w:val="000000"/>
          <w:lang w:val="en-GB"/>
        </w:rPr>
        <w:t>.</w:t>
      </w:r>
    </w:p>
    <w:p w:rsidR="00FA687B" w:rsidRDefault="00FA687B" w:rsidP="00FA687B">
      <w:pPr>
        <w:rPr>
          <w:lang w:val="en-GB"/>
        </w:rPr>
      </w:pPr>
    </w:p>
    <w:p w:rsidR="00FA687B" w:rsidRPr="007D0450" w:rsidRDefault="00FA687B" w:rsidP="00FA687B">
      <w:pPr>
        <w:autoSpaceDE w:val="0"/>
        <w:autoSpaceDN w:val="0"/>
        <w:adjustRightInd w:val="0"/>
        <w:rPr>
          <w:lang w:val="en-GB"/>
        </w:rPr>
      </w:pPr>
      <w:r w:rsidRPr="007D0450">
        <w:rPr>
          <w:lang w:val="en-GB"/>
        </w:rPr>
        <w:t xml:space="preserve">This assumes that the censored observations are distributed uniformly over the interval. Under the same assumption, from the number of patients at risk </w:t>
      </w:r>
      <w:proofErr w:type="spellStart"/>
      <w:r w:rsidRPr="007D0450">
        <w:rPr>
          <w:lang w:val="en-GB"/>
        </w:rPr>
        <w:t>r</w:t>
      </w:r>
      <w:r w:rsidRPr="00CF7F20">
        <w:rPr>
          <w:vertAlign w:val="subscript"/>
          <w:lang w:val="en-GB"/>
        </w:rPr>
        <w:t>j</w:t>
      </w:r>
      <w:proofErr w:type="spellEnd"/>
      <w:r w:rsidRPr="007D0450">
        <w:rPr>
          <w:lang w:val="en-GB"/>
        </w:rPr>
        <w:t xml:space="preserve"> , we can d</w:t>
      </w:r>
      <w:r>
        <w:rPr>
          <w:lang w:val="en-GB"/>
        </w:rPr>
        <w:t>efi</w:t>
      </w:r>
      <w:r w:rsidRPr="007D0450">
        <w:rPr>
          <w:lang w:val="en-GB"/>
        </w:rPr>
        <w:t xml:space="preserve">ne the number of person-years over interval </w:t>
      </w:r>
      <w:proofErr w:type="spellStart"/>
      <w:r>
        <w:rPr>
          <w:lang w:val="en-GB"/>
        </w:rPr>
        <w:t>I</w:t>
      </w:r>
      <w:r w:rsidRPr="00CF7F20">
        <w:rPr>
          <w:vertAlign w:val="subscript"/>
          <w:lang w:val="en-GB"/>
        </w:rPr>
        <w:t>j</w:t>
      </w:r>
      <w:proofErr w:type="spellEnd"/>
      <w:r w:rsidRPr="007D0450">
        <w:rPr>
          <w:lang w:val="en-GB"/>
        </w:rPr>
        <w:t xml:space="preserve"> , as </w:t>
      </w:r>
      <w:proofErr w:type="spellStart"/>
      <w:r w:rsidRPr="007D0450">
        <w:rPr>
          <w:lang w:val="en-GB"/>
        </w:rPr>
        <w:t>r</w:t>
      </w:r>
      <w:r w:rsidRPr="00CF7F20">
        <w:rPr>
          <w:vertAlign w:val="subscript"/>
          <w:lang w:val="en-GB"/>
        </w:rPr>
        <w:t>j</w:t>
      </w:r>
      <w:proofErr w:type="spellEnd"/>
      <w:r w:rsidRPr="007D0450">
        <w:rPr>
          <w:lang w:val="en-GB"/>
        </w:rPr>
        <w:t xml:space="preserve"> </w:t>
      </w:r>
      <w:r>
        <w:rPr>
          <w:lang w:val="en-GB"/>
        </w:rPr>
        <w:t xml:space="preserve">= </w:t>
      </w:r>
      <w:proofErr w:type="spellStart"/>
      <w:r>
        <w:rPr>
          <w:lang w:val="en-GB"/>
        </w:rPr>
        <w:t>Δ</w:t>
      </w:r>
      <w:r w:rsidRPr="00CF7F20">
        <w:rPr>
          <w:vertAlign w:val="subscript"/>
          <w:lang w:val="en-GB"/>
        </w:rPr>
        <w:t>j</w:t>
      </w:r>
      <w:proofErr w:type="spellEnd"/>
      <w:r>
        <w:rPr>
          <w:lang w:val="en-GB"/>
        </w:rPr>
        <w:t>(</w:t>
      </w:r>
      <w:proofErr w:type="spellStart"/>
      <w:r w:rsidRPr="007D0450">
        <w:rPr>
          <w:lang w:val="en-GB"/>
        </w:rPr>
        <w:t>r</w:t>
      </w:r>
      <w:r w:rsidRPr="00CF7F20">
        <w:rPr>
          <w:vertAlign w:val="subscript"/>
          <w:lang w:val="en-GB"/>
        </w:rPr>
        <w:t>j</w:t>
      </w:r>
      <w:proofErr w:type="spellEnd"/>
      <w:r w:rsidRPr="007D0450">
        <w:rPr>
          <w:lang w:val="en-GB"/>
        </w:rPr>
        <w:t xml:space="preserve"> </w:t>
      </w:r>
      <w:r w:rsidRPr="007D0450">
        <w:rPr>
          <w:rFonts w:ascii="Arial" w:hAnsi="Arial"/>
          <w:lang w:val="en-GB"/>
        </w:rPr>
        <w:t xml:space="preserve">- </w:t>
      </w:r>
      <w:proofErr w:type="spellStart"/>
      <w:r w:rsidRPr="007D0450">
        <w:rPr>
          <w:lang w:val="en-GB"/>
        </w:rPr>
        <w:t>c</w:t>
      </w:r>
      <w:r w:rsidRPr="00CF7F20">
        <w:rPr>
          <w:vertAlign w:val="subscript"/>
          <w:lang w:val="en-GB"/>
        </w:rPr>
        <w:t>j</w:t>
      </w:r>
      <w:proofErr w:type="spellEnd"/>
      <w:r>
        <w:rPr>
          <w:lang w:val="en-GB"/>
        </w:rPr>
        <w:t>/</w:t>
      </w:r>
      <w:r w:rsidRPr="007D0450">
        <w:rPr>
          <w:lang w:val="en-GB"/>
        </w:rPr>
        <w:t xml:space="preserve">2), where </w:t>
      </w:r>
      <w:proofErr w:type="spellStart"/>
      <w:r>
        <w:rPr>
          <w:lang w:val="en-GB"/>
        </w:rPr>
        <w:t>Δ</w:t>
      </w:r>
      <w:r w:rsidRPr="00CF7F20">
        <w:rPr>
          <w:vertAlign w:val="subscript"/>
          <w:lang w:val="en-GB"/>
        </w:rPr>
        <w:t>j</w:t>
      </w:r>
      <w:proofErr w:type="spellEnd"/>
      <w:r w:rsidRPr="007D0450">
        <w:rPr>
          <w:lang w:val="en-GB"/>
        </w:rPr>
        <w:t xml:space="preserve"> = </w:t>
      </w:r>
      <w:proofErr w:type="spellStart"/>
      <w:r w:rsidRPr="007D0450">
        <w:rPr>
          <w:lang w:val="en-GB"/>
        </w:rPr>
        <w:t>t</w:t>
      </w:r>
      <w:r w:rsidRPr="007D0450">
        <w:rPr>
          <w:vertAlign w:val="subscript"/>
          <w:lang w:val="en-GB"/>
        </w:rPr>
        <w:t>j</w:t>
      </w:r>
      <w:proofErr w:type="spellEnd"/>
      <w:r w:rsidRPr="007D0450">
        <w:rPr>
          <w:lang w:val="en-GB"/>
        </w:rPr>
        <w:t xml:space="preserve"> </w:t>
      </w:r>
      <w:r>
        <w:rPr>
          <w:rFonts w:ascii="Arial" w:hAnsi="Arial"/>
          <w:lang w:val="en-GB"/>
        </w:rPr>
        <w:t>-</w:t>
      </w:r>
      <w:r w:rsidRPr="007D0450">
        <w:rPr>
          <w:lang w:val="en-GB"/>
        </w:rPr>
        <w:t xml:space="preserve"> t</w:t>
      </w:r>
      <w:r w:rsidRPr="007D0450">
        <w:rPr>
          <w:vertAlign w:val="subscript"/>
          <w:lang w:val="en-GB"/>
        </w:rPr>
        <w:t>j</w:t>
      </w:r>
      <w:r w:rsidRPr="007D0450">
        <w:rPr>
          <w:rFonts w:ascii="Arial" w:hAnsi="Arial"/>
          <w:vertAlign w:val="subscript"/>
          <w:lang w:val="en-GB"/>
        </w:rPr>
        <w:t>-</w:t>
      </w:r>
      <w:r w:rsidRPr="007D0450">
        <w:rPr>
          <w:vertAlign w:val="subscript"/>
          <w:lang w:val="en-GB"/>
        </w:rPr>
        <w:t>1</w:t>
      </w:r>
      <w:r>
        <w:rPr>
          <w:vertAlign w:val="subscript"/>
          <w:lang w:val="en-GB"/>
        </w:rPr>
        <w:t xml:space="preserve"> </w:t>
      </w:r>
      <w:r w:rsidRPr="007D0450">
        <w:rPr>
          <w:lang w:val="en-GB"/>
        </w:rPr>
        <w:t xml:space="preserve">is the length of </w:t>
      </w:r>
      <w:proofErr w:type="spellStart"/>
      <w:r w:rsidRPr="007D0450">
        <w:rPr>
          <w:lang w:val="en-GB"/>
        </w:rPr>
        <w:t>I</w:t>
      </w:r>
      <w:r w:rsidRPr="00CF7F20">
        <w:rPr>
          <w:vertAlign w:val="subscript"/>
          <w:lang w:val="en-GB"/>
        </w:rPr>
        <w:t>j</w:t>
      </w:r>
      <w:proofErr w:type="spellEnd"/>
      <w:r w:rsidRPr="007D0450">
        <w:rPr>
          <w:lang w:val="en-GB"/>
        </w:rPr>
        <w:t xml:space="preserve"> . Following the methodology described</w:t>
      </w:r>
      <w:r>
        <w:rPr>
          <w:lang w:val="en-GB"/>
        </w:rPr>
        <w:t>,</w:t>
      </w:r>
      <w:r w:rsidRPr="007D0450">
        <w:rPr>
          <w:lang w:val="en-GB"/>
        </w:rPr>
        <w:t xml:space="preserve"> the </w:t>
      </w:r>
      <w:r w:rsidRPr="00FA687B">
        <w:rPr>
          <w:lang w:val="en-GB"/>
        </w:rPr>
        <w:t xml:space="preserve"> number of patients at</w:t>
      </w:r>
      <w:r>
        <w:rPr>
          <w:lang w:val="en-GB"/>
        </w:rPr>
        <w:t xml:space="preserve"> risk, the number of deaths and </w:t>
      </w:r>
      <w:r w:rsidRPr="00FA687B">
        <w:rPr>
          <w:lang w:val="en-GB"/>
        </w:rPr>
        <w:t>the number of censored patients during the time intervals</w:t>
      </w:r>
      <w:r>
        <w:rPr>
          <w:lang w:val="en-GB"/>
        </w:rPr>
        <w:t xml:space="preserve"> </w:t>
      </w:r>
      <w:r w:rsidRPr="007D0450">
        <w:rPr>
          <w:lang w:val="en-GB"/>
        </w:rPr>
        <w:t>for each study involved in the meta-analysis have been reconstructed. A Poisson mix</w:t>
      </w:r>
      <w:r>
        <w:rPr>
          <w:lang w:val="en-GB"/>
        </w:rPr>
        <w:t>ed model with study as random effects has been fi</w:t>
      </w:r>
      <w:r w:rsidRPr="007D0450">
        <w:rPr>
          <w:lang w:val="en-GB"/>
        </w:rPr>
        <w:t xml:space="preserve">tted to the reconstructed data, to estimate the pooled </w:t>
      </w:r>
      <w:r>
        <w:rPr>
          <w:lang w:val="en-GB"/>
        </w:rPr>
        <w:t xml:space="preserve">PFS and OS probability.   </w:t>
      </w:r>
    </w:p>
    <w:p w:rsidR="00FA687B" w:rsidRPr="00DD0399" w:rsidRDefault="00FA687B" w:rsidP="00FA687B">
      <w:pPr>
        <w:rPr>
          <w:lang w:val="en-GB"/>
        </w:rPr>
      </w:pPr>
    </w:p>
    <w:p w:rsidR="00BA4340" w:rsidRPr="00FA687B" w:rsidRDefault="00BA4340">
      <w:pPr>
        <w:rPr>
          <w:lang w:val="en-GB"/>
        </w:rPr>
      </w:pPr>
    </w:p>
    <w:sectPr w:rsidR="00BA4340" w:rsidRPr="00FA687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87B"/>
    <w:rsid w:val="002B089A"/>
    <w:rsid w:val="00561E46"/>
    <w:rsid w:val="00BA4340"/>
    <w:rsid w:val="00BC56E9"/>
    <w:rsid w:val="00FA68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87B"/>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687B"/>
    <w:rPr>
      <w:rFonts w:ascii="Tahoma" w:hAnsi="Tahoma" w:cs="Tahoma"/>
      <w:sz w:val="16"/>
      <w:szCs w:val="16"/>
    </w:rPr>
  </w:style>
  <w:style w:type="character" w:customStyle="1" w:styleId="BalloonTextChar">
    <w:name w:val="Balloon Text Char"/>
    <w:basedOn w:val="DefaultParagraphFont"/>
    <w:link w:val="BalloonText"/>
    <w:uiPriority w:val="99"/>
    <w:semiHidden/>
    <w:rsid w:val="00FA687B"/>
    <w:rPr>
      <w:rFonts w:ascii="Tahoma" w:eastAsia="Times New Roman" w:hAnsi="Tahoma" w:cs="Tahoma"/>
      <w:sz w:val="16"/>
      <w:szCs w:val="16"/>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687B"/>
    <w:pPr>
      <w:spacing w:after="0" w:line="240" w:lineRule="auto"/>
    </w:pPr>
    <w:rPr>
      <w:rFonts w:ascii="Times New Roman" w:eastAsia="Times New Roman" w:hAnsi="Times New Roman" w:cs="Times New Roman"/>
      <w:sz w:val="24"/>
      <w:szCs w:val="24"/>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687B"/>
    <w:rPr>
      <w:rFonts w:ascii="Tahoma" w:hAnsi="Tahoma" w:cs="Tahoma"/>
      <w:sz w:val="16"/>
      <w:szCs w:val="16"/>
    </w:rPr>
  </w:style>
  <w:style w:type="character" w:customStyle="1" w:styleId="BalloonTextChar">
    <w:name w:val="Balloon Text Char"/>
    <w:basedOn w:val="DefaultParagraphFont"/>
    <w:link w:val="BalloonText"/>
    <w:uiPriority w:val="99"/>
    <w:semiHidden/>
    <w:rsid w:val="00FA687B"/>
    <w:rPr>
      <w:rFonts w:ascii="Tahoma" w:eastAsia="Times New Roman" w:hAnsi="Tahoma" w:cs="Tahoma"/>
      <w:sz w:val="16"/>
      <w:szCs w:val="16"/>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20FB6B7F</Template>
  <TotalTime>1</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LUMC</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Fiocco, M. (MSTAT)</dc:creator>
  <cp:lastModifiedBy>Liu, X. (KFT)</cp:lastModifiedBy>
  <cp:revision>4</cp:revision>
  <dcterms:created xsi:type="dcterms:W3CDTF">2016-05-23T14:51:00Z</dcterms:created>
  <dcterms:modified xsi:type="dcterms:W3CDTF">2016-06-27T13:39:00Z</dcterms:modified>
</cp:coreProperties>
</file>